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</w:pPr>
      <w:r w:rsidDel="00000000" w:rsidR="00000000" w:rsidRPr="00000000">
        <w:pict>
          <v:shapetype id="_x0000_t75" coordsize="21600,21600" filled="f" stroked="f" o:spt="75.0" o:preferrelative="t" path="m@4@5l@4@11@9@11@9@5xe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connecttype="rect" o:extrusionok="f" gradientshapeok="t"/>
            <o:lock v:ext="edit" aspectratio="t"/>
          </v:shapetype>
        </w:pict>
      </w:r>
    </w:p>
    <w:p w:rsidR="00000000" w:rsidDel="00000000" w:rsidP="00000000" w:rsidRDefault="00000000" w:rsidRPr="00000000" w14:paraId="00000002">
      <w:pPr>
        <w:jc w:val="center"/>
        <w:rPr>
          <w:b w:val="1"/>
          <w:sz w:val="24"/>
          <w:szCs w:val="24"/>
        </w:rPr>
      </w:pPr>
      <w:r w:rsidDel="00000000" w:rsidR="00000000" w:rsidRPr="00000000">
        <w:rPr>
          <w:b w:val="1"/>
          <w:sz w:val="24"/>
          <w:szCs w:val="24"/>
          <w:rtl w:val="0"/>
        </w:rPr>
        <w:t xml:space="preserve">Análisis técnico para determinar Sitios NO Potenciales para la ubicación de rellenos sanitarios municipales, de acuerdo con la Norma Oficial Mexicana NOM-083-SEMARNAT-2003 dentro de los Municipios de Amatitán, El Arenal, Tala y Tequila</w:t>
      </w:r>
    </w:p>
    <w:p w:rsidR="00000000" w:rsidDel="00000000" w:rsidP="00000000" w:rsidRDefault="00000000" w:rsidRPr="00000000" w14:paraId="00000003">
      <w:pPr>
        <w:spacing w:after="0" w:lineRule="auto"/>
        <w:rPr/>
      </w:pPr>
      <w:r w:rsidDel="00000000" w:rsidR="00000000" w:rsidRPr="00000000">
        <w:rPr>
          <w:rtl w:val="0"/>
        </w:rPr>
        <w:t xml:space="preserve">Preparado por la Dirección de Geomática e Información Ambiental y Territorial</w:t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  <w:t xml:space="preserve">27 de febrero de 2025</w:t>
      </w:r>
    </w:p>
    <w:p w:rsidR="00000000" w:rsidDel="00000000" w:rsidP="00000000" w:rsidRDefault="00000000" w:rsidRPr="00000000" w14:paraId="00000005">
      <w:pPr>
        <w:spacing w:after="0" w:lineRule="auto"/>
        <w:jc w:val="center"/>
        <w:rPr/>
      </w:pPr>
      <w:r w:rsidDel="00000000" w:rsidR="00000000" w:rsidRPr="00000000">
        <w:rPr/>
        <w:pict>
          <v:shape id="_x0000_i1028" style="width:441pt;height:341.25pt" type="#_x0000_t75">
            <v:imagedata r:id="rId1" o:title="RellenoSanitario_Valles"/>
          </v:shape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jc w:val="center"/>
        <w:rPr>
          <w:sz w:val="18"/>
          <w:szCs w:val="18"/>
        </w:rPr>
      </w:pPr>
      <w:r w:rsidDel="00000000" w:rsidR="00000000" w:rsidRPr="00000000">
        <w:rPr>
          <w:b w:val="1"/>
          <w:sz w:val="18"/>
          <w:szCs w:val="18"/>
          <w:rtl w:val="0"/>
        </w:rPr>
        <w:t xml:space="preserve">Figura 1.</w:t>
      </w:r>
      <w:r w:rsidDel="00000000" w:rsidR="00000000" w:rsidRPr="00000000">
        <w:rPr>
          <w:sz w:val="18"/>
          <w:szCs w:val="18"/>
          <w:rtl w:val="0"/>
        </w:rPr>
        <w:t xml:space="preserve"> Municipios que conforman el área de estudio.</w:t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tl w:val="0"/>
        </w:rPr>
        <w:t xml:space="preserve">Para la selección de sitios potenciales de rellenos sanitarios municipales se consideraron las siguientes variables:</w:t>
      </w:r>
    </w:p>
    <w:p w:rsidR="00000000" w:rsidDel="00000000" w:rsidP="00000000" w:rsidRDefault="00000000" w:rsidRPr="00000000" w14:paraId="00000008">
      <w:pPr>
        <w:spacing w:after="0" w:lineRule="auto"/>
        <w:jc w:val="center"/>
        <w:rPr>
          <w:b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0" w:lineRule="auto"/>
        <w:jc w:val="center"/>
        <w:rPr>
          <w:b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after="0" w:lineRule="auto"/>
        <w:jc w:val="center"/>
        <w:rPr>
          <w:b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after="0" w:lineRule="auto"/>
        <w:jc w:val="center"/>
        <w:rPr>
          <w:b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after="0" w:lineRule="auto"/>
        <w:jc w:val="center"/>
        <w:rPr>
          <w:b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after="0" w:lineRule="auto"/>
        <w:jc w:val="center"/>
        <w:rPr>
          <w:b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pacing w:after="0" w:lineRule="auto"/>
        <w:jc w:val="center"/>
        <w:rPr/>
      </w:pPr>
      <w:r w:rsidDel="00000000" w:rsidR="00000000" w:rsidRPr="00000000">
        <w:rPr>
          <w:b w:val="1"/>
          <w:sz w:val="18"/>
          <w:szCs w:val="18"/>
          <w:rtl w:val="0"/>
        </w:rPr>
        <w:t xml:space="preserve">Tabla 1.</w:t>
      </w:r>
      <w:r w:rsidDel="00000000" w:rsidR="00000000" w:rsidRPr="00000000">
        <w:rPr>
          <w:sz w:val="18"/>
          <w:szCs w:val="18"/>
          <w:rtl w:val="0"/>
        </w:rPr>
        <w:t xml:space="preserve"> Variables restrictivas para la selección de sitios potenciales de rellenos sanitarios municipales.</w:t>
      </w:r>
      <w:r w:rsidDel="00000000" w:rsidR="00000000" w:rsidRPr="00000000">
        <w:rPr>
          <w:rtl w:val="0"/>
        </w:rPr>
      </w:r>
    </w:p>
    <w:tbl>
      <w:tblPr>
        <w:tblStyle w:val="Table1"/>
        <w:tblW w:w="9100.0" w:type="dxa"/>
        <w:jc w:val="left"/>
        <w:tblLayout w:type="fixed"/>
        <w:tblLook w:val="0400"/>
      </w:tblPr>
      <w:tblGrid>
        <w:gridCol w:w="4500"/>
        <w:gridCol w:w="4600"/>
        <w:tblGridChange w:id="0">
          <w:tblGrid>
            <w:gridCol w:w="4500"/>
            <w:gridCol w:w="4600"/>
          </w:tblGrid>
        </w:tblGridChange>
      </w:tblGrid>
      <w:tr>
        <w:trPr>
          <w:cantSplit w:val="0"/>
          <w:tblHeader w:val="1"/>
        </w:trPr>
        <w:tc>
          <w:tcPr>
            <w:gridSpan w:val="2"/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cccccc" w:val="clear"/>
            <w:tcMar>
              <w:top w:w="56.0" w:type="dxa"/>
              <w:left w:w="56.0" w:type="dxa"/>
              <w:bottom w:w="56.0" w:type="dxa"/>
              <w:right w:w="56.0" w:type="dxa"/>
            </w:tcMar>
            <w:vAlign w:val="bottom"/>
          </w:tcPr>
          <w:p w:rsidR="00000000" w:rsidDel="00000000" w:rsidP="00000000" w:rsidRDefault="00000000" w:rsidRPr="00000000" w14:paraId="0000000F">
            <w:pPr>
              <w:spacing w:after="0" w:line="240" w:lineRule="auto"/>
              <w:jc w:val="center"/>
              <w:rPr>
                <w:b w:val="1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b w:val="1"/>
                <w:color w:val="000000"/>
                <w:sz w:val="18"/>
                <w:szCs w:val="18"/>
                <w:rtl w:val="0"/>
              </w:rPr>
              <w:t xml:space="preserve">Variables restrictivas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0" w:type="dxa"/>
              <w:left w:w="113.0" w:type="dxa"/>
              <w:bottom w:w="113.0" w:type="dxa"/>
              <w:right w:w="113.0" w:type="dxa"/>
            </w:tcMar>
            <w:vAlign w:val="center"/>
          </w:tcPr>
          <w:p w:rsidR="00000000" w:rsidDel="00000000" w:rsidP="00000000" w:rsidRDefault="00000000" w:rsidRPr="00000000" w14:paraId="00000011">
            <w:pPr>
              <w:spacing w:after="0" w:line="240" w:lineRule="auto"/>
              <w:jc w:val="left"/>
              <w:rPr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color w:val="000000"/>
                <w:sz w:val="18"/>
                <w:szCs w:val="18"/>
                <w:rtl w:val="0"/>
              </w:rPr>
              <w:t xml:space="preserve">Áreas Naturales Protegidas decretadas y en proceso de </w:t>
            </w:r>
            <w:r w:rsidDel="00000000" w:rsidR="00000000" w:rsidRPr="00000000">
              <w:rPr>
                <w:sz w:val="18"/>
                <w:szCs w:val="18"/>
                <w:rtl w:val="0"/>
              </w:rPr>
              <w:t xml:space="preserve">decreto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0" w:type="dxa"/>
              <w:left w:w="113.0" w:type="dxa"/>
              <w:bottom w:w="113.0" w:type="dxa"/>
              <w:right w:w="113.0" w:type="dxa"/>
            </w:tcMar>
            <w:vAlign w:val="center"/>
          </w:tcPr>
          <w:p w:rsidR="00000000" w:rsidDel="00000000" w:rsidP="00000000" w:rsidRDefault="00000000" w:rsidRPr="00000000" w14:paraId="00000012">
            <w:pPr>
              <w:spacing w:after="0" w:line="240" w:lineRule="auto"/>
              <w:jc w:val="left"/>
              <w:rPr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color w:val="000000"/>
                <w:sz w:val="18"/>
                <w:szCs w:val="18"/>
                <w:rtl w:val="0"/>
              </w:rPr>
              <w:t xml:space="preserve">Área de Protección de Flora y Fauna La Primavera.</w:t>
            </w:r>
          </w:p>
          <w:p w:rsidR="00000000" w:rsidDel="00000000" w:rsidP="00000000" w:rsidRDefault="00000000" w:rsidRPr="00000000" w14:paraId="00000013">
            <w:pPr>
              <w:spacing w:after="0" w:line="240" w:lineRule="auto"/>
              <w:jc w:val="left"/>
              <w:rPr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color w:val="000000"/>
                <w:sz w:val="18"/>
                <w:szCs w:val="18"/>
                <w:rtl w:val="0"/>
              </w:rPr>
              <w:t xml:space="preserve">Área Municipal de Protección Hidrológica Barranca del Río Santiago</w:t>
            </w:r>
          </w:p>
          <w:p w:rsidR="00000000" w:rsidDel="00000000" w:rsidP="00000000" w:rsidRDefault="00000000" w:rsidRPr="00000000" w14:paraId="00000014">
            <w:pPr>
              <w:spacing w:after="0" w:line="240" w:lineRule="auto"/>
              <w:jc w:val="left"/>
              <w:rPr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color w:val="000000"/>
                <w:sz w:val="18"/>
                <w:szCs w:val="18"/>
                <w:rtl w:val="0"/>
              </w:rPr>
              <w:t xml:space="preserve">CADNR 043 Estado de Nayarit / Fuente: SEMADET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0" w:type="dxa"/>
              <w:left w:w="113.0" w:type="dxa"/>
              <w:bottom w:w="113.0" w:type="dxa"/>
              <w:right w:w="113.0" w:type="dxa"/>
            </w:tcMar>
            <w:vAlign w:val="center"/>
          </w:tcPr>
          <w:p w:rsidR="00000000" w:rsidDel="00000000" w:rsidP="00000000" w:rsidRDefault="00000000" w:rsidRPr="00000000" w14:paraId="00000015">
            <w:pPr>
              <w:spacing w:after="0" w:line="240" w:lineRule="auto"/>
              <w:jc w:val="left"/>
              <w:rPr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color w:val="000000"/>
                <w:sz w:val="18"/>
                <w:szCs w:val="18"/>
                <w:rtl w:val="0"/>
              </w:rPr>
              <w:t xml:space="preserve">Zonas urbanas y localidades existentes (con franja de amortiguamiento de 500m)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0" w:type="dxa"/>
              <w:left w:w="113.0" w:type="dxa"/>
              <w:bottom w:w="113.0" w:type="dxa"/>
              <w:right w:w="113.0" w:type="dxa"/>
            </w:tcMar>
            <w:vAlign w:val="center"/>
          </w:tcPr>
          <w:p w:rsidR="00000000" w:rsidDel="00000000" w:rsidP="00000000" w:rsidRDefault="00000000" w:rsidRPr="00000000" w14:paraId="00000016">
            <w:pPr>
              <w:spacing w:after="0" w:line="240" w:lineRule="auto"/>
              <w:jc w:val="left"/>
              <w:rPr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color w:val="000000"/>
                <w:sz w:val="18"/>
                <w:szCs w:val="18"/>
                <w:rtl w:val="0"/>
              </w:rPr>
              <w:t xml:space="preserve">Conjunto de datos INEGI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0" w:type="dxa"/>
              <w:left w:w="113.0" w:type="dxa"/>
              <w:bottom w:w="113.0" w:type="dxa"/>
              <w:right w:w="113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spacing w:after="0" w:line="240" w:lineRule="auto"/>
              <w:jc w:val="left"/>
              <w:rPr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color w:val="000000"/>
                <w:sz w:val="18"/>
                <w:szCs w:val="18"/>
                <w:rtl w:val="0"/>
              </w:rPr>
              <w:t xml:space="preserve">Cuerpos de agua (con franja de amortiguamiento de 500m)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0" w:type="dxa"/>
              <w:left w:w="113.0" w:type="dxa"/>
              <w:bottom w:w="113.0" w:type="dxa"/>
              <w:right w:w="113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spacing w:after="0" w:line="240" w:lineRule="auto"/>
              <w:jc w:val="left"/>
              <w:rPr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color w:val="000000"/>
                <w:sz w:val="18"/>
                <w:szCs w:val="18"/>
                <w:rtl w:val="0"/>
              </w:rPr>
              <w:t xml:space="preserve">Conjunto de datos INEGI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0" w:type="dxa"/>
              <w:left w:w="113.0" w:type="dxa"/>
              <w:bottom w:w="113.0" w:type="dxa"/>
              <w:right w:w="113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spacing w:after="0" w:line="240" w:lineRule="auto"/>
              <w:jc w:val="left"/>
              <w:rPr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color w:val="000000"/>
                <w:sz w:val="18"/>
                <w:szCs w:val="18"/>
                <w:rtl w:val="0"/>
              </w:rPr>
              <w:t xml:space="preserve">Corriente de agua perenne (con franja de amortiguamiento de 500m)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0" w:type="dxa"/>
              <w:left w:w="113.0" w:type="dxa"/>
              <w:bottom w:w="113.0" w:type="dxa"/>
              <w:right w:w="113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spacing w:after="0" w:line="240" w:lineRule="auto"/>
              <w:jc w:val="left"/>
              <w:rPr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color w:val="000000"/>
                <w:sz w:val="18"/>
                <w:szCs w:val="18"/>
                <w:rtl w:val="0"/>
              </w:rPr>
              <w:t xml:space="preserve">Conjunto de datos INEGI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0" w:type="dxa"/>
              <w:left w:w="113.0" w:type="dxa"/>
              <w:bottom w:w="113.0" w:type="dxa"/>
              <w:right w:w="113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spacing w:after="0" w:line="240" w:lineRule="auto"/>
              <w:jc w:val="left"/>
              <w:rPr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color w:val="000000"/>
                <w:sz w:val="18"/>
                <w:szCs w:val="18"/>
                <w:rtl w:val="0"/>
              </w:rPr>
              <w:t xml:space="preserve">Zonas de fallas y fracturas (con franja de amortiguamiento de 500m)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0" w:type="dxa"/>
              <w:left w:w="113.0" w:type="dxa"/>
              <w:bottom w:w="113.0" w:type="dxa"/>
              <w:right w:w="113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spacing w:after="0" w:line="240" w:lineRule="auto"/>
              <w:jc w:val="left"/>
              <w:rPr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color w:val="000000"/>
                <w:sz w:val="18"/>
                <w:szCs w:val="18"/>
                <w:rtl w:val="0"/>
              </w:rPr>
              <w:t xml:space="preserve">Atlas </w:t>
              <w:br w:type="textWrapping"/>
              <w:t xml:space="preserve">de Riesgos del Estado de Jalisco, UEPCyBJ.</w:t>
            </w:r>
          </w:p>
        </w:tc>
      </w:tr>
    </w:tbl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pacing w:after="0" w:lineRule="auto"/>
        <w:jc w:val="center"/>
        <w:rPr/>
      </w:pPr>
      <w:r w:rsidDel="00000000" w:rsidR="00000000" w:rsidRPr="00000000">
        <w:rPr>
          <w:b w:val="1"/>
          <w:sz w:val="18"/>
          <w:szCs w:val="18"/>
          <w:rtl w:val="0"/>
        </w:rPr>
        <w:t xml:space="preserve">Tabla 2.</w:t>
      </w:r>
      <w:r w:rsidDel="00000000" w:rsidR="00000000" w:rsidRPr="00000000">
        <w:rPr>
          <w:sz w:val="18"/>
          <w:szCs w:val="18"/>
          <w:rtl w:val="0"/>
        </w:rPr>
        <w:t xml:space="preserve"> Variables condicionales para la selección de sitios potenciales de rellenos sanitarios municipales.</w:t>
      </w:r>
      <w:r w:rsidDel="00000000" w:rsidR="00000000" w:rsidRPr="00000000">
        <w:rPr>
          <w:rtl w:val="0"/>
        </w:rPr>
      </w:r>
    </w:p>
    <w:tbl>
      <w:tblPr>
        <w:tblStyle w:val="Table2"/>
        <w:tblW w:w="9100.0" w:type="dxa"/>
        <w:jc w:val="left"/>
        <w:tblLayout w:type="fixed"/>
        <w:tblLook w:val="0400"/>
      </w:tblPr>
      <w:tblGrid>
        <w:gridCol w:w="4500"/>
        <w:gridCol w:w="4600"/>
        <w:tblGridChange w:id="0">
          <w:tblGrid>
            <w:gridCol w:w="4500"/>
            <w:gridCol w:w="4600"/>
          </w:tblGrid>
        </w:tblGridChange>
      </w:tblGrid>
      <w:tr>
        <w:trPr>
          <w:cantSplit w:val="0"/>
          <w:trHeight w:val="193" w:hRule="atLeast"/>
          <w:tblHeader w:val="1"/>
        </w:trPr>
        <w:tc>
          <w:tcPr>
            <w:gridSpan w:val="2"/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cccccc" w:val="clear"/>
            <w:tcMar>
              <w:top w:w="113.0" w:type="dxa"/>
              <w:left w:w="113.0" w:type="dxa"/>
              <w:bottom w:w="113.0" w:type="dxa"/>
              <w:right w:w="113.0" w:type="dxa"/>
            </w:tcMar>
            <w:vAlign w:val="bottom"/>
          </w:tcPr>
          <w:p w:rsidR="00000000" w:rsidDel="00000000" w:rsidP="00000000" w:rsidRDefault="00000000" w:rsidRPr="00000000" w14:paraId="0000001F">
            <w:pPr>
              <w:spacing w:after="0" w:line="240" w:lineRule="auto"/>
              <w:jc w:val="center"/>
              <w:rPr>
                <w:b w:val="1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b w:val="1"/>
                <w:color w:val="000000"/>
                <w:sz w:val="18"/>
                <w:szCs w:val="18"/>
                <w:rtl w:val="0"/>
              </w:rPr>
              <w:t xml:space="preserve">Variables condicionales</w:t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0" w:type="dxa"/>
              <w:left w:w="113.0" w:type="dxa"/>
              <w:bottom w:w="113.0" w:type="dxa"/>
              <w:right w:w="113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spacing w:after="0" w:line="240" w:lineRule="auto"/>
              <w:jc w:val="left"/>
              <w:rPr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color w:val="000000"/>
                <w:sz w:val="18"/>
                <w:szCs w:val="18"/>
                <w:rtl w:val="0"/>
              </w:rPr>
              <w:t xml:space="preserve">Uso de suelo y vegetación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0" w:type="dxa"/>
              <w:left w:w="113.0" w:type="dxa"/>
              <w:bottom w:w="113.0" w:type="dxa"/>
              <w:right w:w="113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spacing w:after="0" w:line="240" w:lineRule="auto"/>
              <w:jc w:val="left"/>
              <w:rPr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color w:val="000000"/>
                <w:sz w:val="18"/>
                <w:szCs w:val="18"/>
                <w:rtl w:val="0"/>
              </w:rPr>
              <w:t xml:space="preserve">Carta temática de uso </w:t>
              <w:br w:type="textWrapping"/>
              <w:t xml:space="preserve">de suelo y vegetación serie VII, INEGI</w:t>
            </w:r>
          </w:p>
        </w:tc>
      </w:tr>
      <w:tr>
        <w:trPr>
          <w:cantSplit w:val="0"/>
          <w:trHeight w:val="193" w:hRule="atLeast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0" w:type="dxa"/>
              <w:left w:w="113.0" w:type="dxa"/>
              <w:bottom w:w="113.0" w:type="dxa"/>
              <w:right w:w="113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spacing w:after="0" w:line="240" w:lineRule="auto"/>
              <w:jc w:val="left"/>
              <w:rPr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color w:val="000000"/>
                <w:sz w:val="18"/>
                <w:szCs w:val="18"/>
                <w:rtl w:val="0"/>
              </w:rPr>
              <w:t xml:space="preserve">Ordenamiento Territorial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0" w:type="dxa"/>
              <w:left w:w="113.0" w:type="dxa"/>
              <w:bottom w:w="113.0" w:type="dxa"/>
              <w:right w:w="113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spacing w:after="0" w:line="240" w:lineRule="auto"/>
              <w:jc w:val="left"/>
              <w:rPr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color w:val="000000"/>
                <w:sz w:val="18"/>
                <w:szCs w:val="18"/>
                <w:rtl w:val="0"/>
              </w:rPr>
              <w:t xml:space="preserve">Región “Paisaje Agavero”</w:t>
            </w:r>
          </w:p>
          <w:p w:rsidR="00000000" w:rsidDel="00000000" w:rsidP="00000000" w:rsidRDefault="00000000" w:rsidRPr="00000000" w14:paraId="00000025">
            <w:pPr>
              <w:spacing w:after="0" w:line="240" w:lineRule="auto"/>
              <w:jc w:val="left"/>
              <w:rPr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color w:val="000000"/>
                <w:sz w:val="18"/>
                <w:szCs w:val="18"/>
                <w:rtl w:val="0"/>
              </w:rPr>
              <w:t xml:space="preserve">Se dejaron fuera los polígonos que se encuentran en clasificación de política: “</w:t>
            </w:r>
            <w:r w:rsidDel="00000000" w:rsidR="00000000" w:rsidRPr="00000000">
              <w:rPr>
                <w:b w:val="1"/>
                <w:color w:val="000000"/>
                <w:sz w:val="18"/>
                <w:szCs w:val="18"/>
                <w:rtl w:val="0"/>
              </w:rPr>
              <w:t xml:space="preserve">Aprovechamiento forestal</w:t>
            </w:r>
            <w:r w:rsidDel="00000000" w:rsidR="00000000" w:rsidRPr="00000000">
              <w:rPr>
                <w:color w:val="000000"/>
                <w:sz w:val="18"/>
                <w:szCs w:val="18"/>
                <w:rtl w:val="0"/>
              </w:rPr>
              <w:t xml:space="preserve">”, “</w:t>
            </w:r>
            <w:r w:rsidDel="00000000" w:rsidR="00000000" w:rsidRPr="00000000">
              <w:rPr>
                <w:b w:val="1"/>
                <w:color w:val="000000"/>
                <w:sz w:val="18"/>
                <w:szCs w:val="18"/>
                <w:rtl w:val="0"/>
              </w:rPr>
              <w:t xml:space="preserve">Preservación</w:t>
            </w:r>
            <w:r w:rsidDel="00000000" w:rsidR="00000000" w:rsidRPr="00000000">
              <w:rPr>
                <w:color w:val="000000"/>
                <w:sz w:val="18"/>
                <w:szCs w:val="18"/>
                <w:rtl w:val="0"/>
              </w:rPr>
              <w:t xml:space="preserve">” y “</w:t>
            </w:r>
            <w:r w:rsidDel="00000000" w:rsidR="00000000" w:rsidRPr="00000000">
              <w:rPr>
                <w:b w:val="1"/>
                <w:color w:val="000000"/>
                <w:sz w:val="18"/>
                <w:szCs w:val="18"/>
                <w:rtl w:val="0"/>
              </w:rPr>
              <w:t xml:space="preserve">Protección</w:t>
            </w:r>
            <w:r w:rsidDel="00000000" w:rsidR="00000000" w:rsidRPr="00000000">
              <w:rPr>
                <w:color w:val="000000"/>
                <w:sz w:val="18"/>
                <w:szCs w:val="18"/>
                <w:rtl w:val="0"/>
              </w:rPr>
              <w:t xml:space="preserve">”</w:t>
            </w:r>
          </w:p>
        </w:tc>
      </w:tr>
      <w:tr>
        <w:trPr>
          <w:cantSplit w:val="0"/>
          <w:trHeight w:val="193" w:hRule="atLeast"/>
          <w:tblHeader w:val="0"/>
        </w:trPr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0" w:type="dxa"/>
              <w:left w:w="113.0" w:type="dxa"/>
              <w:bottom w:w="113.0" w:type="dxa"/>
              <w:right w:w="113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spacing w:after="0" w:line="240" w:lineRule="auto"/>
              <w:jc w:val="left"/>
              <w:rPr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color w:val="000000"/>
                <w:sz w:val="18"/>
                <w:szCs w:val="18"/>
                <w:rtl w:val="0"/>
              </w:rPr>
              <w:t xml:space="preserve">Plan de acción para la conectividad ecológica de Jalisco</w:t>
            </w:r>
          </w:p>
        </w:tc>
        <w:tc>
          <w:tcPr>
            <w:tcBorders>
              <w:top w:color="cccccc" w:space="0" w:sz="8" w:val="single"/>
              <w:left w:color="cccccc" w:space="0" w:sz="8" w:val="single"/>
              <w:bottom w:color="cccccc" w:space="0" w:sz="8" w:val="single"/>
              <w:right w:color="cccccc" w:space="0" w:sz="8" w:val="single"/>
            </w:tcBorders>
            <w:shd w:fill="auto" w:val="clear"/>
            <w:tcMar>
              <w:top w:w="113.0" w:type="dxa"/>
              <w:left w:w="113.0" w:type="dxa"/>
              <w:bottom w:w="113.0" w:type="dxa"/>
              <w:right w:w="113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spacing w:after="0" w:line="240" w:lineRule="auto"/>
              <w:jc w:val="left"/>
              <w:rPr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color w:val="000000"/>
                <w:sz w:val="18"/>
                <w:szCs w:val="18"/>
                <w:rtl w:val="0"/>
              </w:rPr>
              <w:t xml:space="preserve">Corredores Biológicos</w:t>
            </w:r>
          </w:p>
          <w:p w:rsidR="00000000" w:rsidDel="00000000" w:rsidP="00000000" w:rsidRDefault="00000000" w:rsidRPr="00000000" w14:paraId="00000028">
            <w:pPr>
              <w:spacing w:after="0" w:line="240" w:lineRule="auto"/>
              <w:jc w:val="left"/>
              <w:rPr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color w:val="000000"/>
                <w:sz w:val="18"/>
                <w:szCs w:val="18"/>
                <w:rtl w:val="0"/>
              </w:rPr>
              <w:t xml:space="preserve">Áreas prioritarias para restauración productiva (agrícola)</w:t>
            </w:r>
          </w:p>
          <w:p w:rsidR="00000000" w:rsidDel="00000000" w:rsidP="00000000" w:rsidRDefault="00000000" w:rsidRPr="00000000" w14:paraId="00000029">
            <w:pPr>
              <w:spacing w:after="0" w:line="240" w:lineRule="auto"/>
              <w:jc w:val="left"/>
              <w:rPr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color w:val="000000"/>
                <w:sz w:val="18"/>
                <w:szCs w:val="18"/>
                <w:rtl w:val="0"/>
              </w:rPr>
              <w:t xml:space="preserve">Áreas prioritarias para restauración productiva (pastizales)</w:t>
            </w:r>
          </w:p>
          <w:p w:rsidR="00000000" w:rsidDel="00000000" w:rsidP="00000000" w:rsidRDefault="00000000" w:rsidRPr="00000000" w14:paraId="0000002A">
            <w:pPr>
              <w:spacing w:after="0" w:line="240" w:lineRule="auto"/>
              <w:jc w:val="left"/>
              <w:rPr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color w:val="000000"/>
                <w:sz w:val="18"/>
                <w:szCs w:val="18"/>
                <w:rtl w:val="0"/>
              </w:rPr>
              <w:t xml:space="preserve">Conservación de tierras forestales</w:t>
            </w:r>
          </w:p>
          <w:p w:rsidR="00000000" w:rsidDel="00000000" w:rsidP="00000000" w:rsidRDefault="00000000" w:rsidRPr="00000000" w14:paraId="0000002B">
            <w:pPr>
              <w:spacing w:after="0" w:line="240" w:lineRule="auto"/>
              <w:jc w:val="left"/>
              <w:rPr/>
            </w:pPr>
            <w:r w:rsidDel="00000000" w:rsidR="00000000" w:rsidRPr="00000000">
              <w:rPr>
                <w:color w:val="000000"/>
                <w:sz w:val="18"/>
                <w:szCs w:val="18"/>
                <w:rtl w:val="0"/>
              </w:rPr>
              <w:t xml:space="preserve">Plan de Conectividad Áreas Naturales Protegidas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rPr/>
      </w:pPr>
      <w:r w:rsidDel="00000000" w:rsidR="00000000" w:rsidRPr="00000000">
        <w:rPr/>
        <w:drawing>
          <wp:inline distB="0" distT="0" distL="0" distR="0">
            <wp:extent cx="5612130" cy="3666490"/>
            <wp:effectExtent b="0" l="0" r="0" t="0"/>
            <wp:docPr id="10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664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jc w:val="center"/>
        <w:rPr>
          <w:sz w:val="18"/>
          <w:szCs w:val="18"/>
        </w:rPr>
      </w:pPr>
      <w:bookmarkStart w:colFirst="0" w:colLast="0" w:name="_heading=h.gjdgxs" w:id="0"/>
      <w:bookmarkEnd w:id="0"/>
      <w:r w:rsidDel="00000000" w:rsidR="00000000" w:rsidRPr="00000000">
        <w:rPr>
          <w:b w:val="1"/>
          <w:sz w:val="18"/>
          <w:szCs w:val="18"/>
          <w:rtl w:val="0"/>
        </w:rPr>
        <w:t xml:space="preserve">Figura 2.</w:t>
      </w:r>
      <w:r w:rsidDel="00000000" w:rsidR="00000000" w:rsidRPr="00000000">
        <w:rPr>
          <w:sz w:val="18"/>
          <w:szCs w:val="18"/>
          <w:rtl w:val="0"/>
        </w:rPr>
        <w:t xml:space="preserve"> Procesamiento inicial de álgebra de mapas para la selección de Sitios NO Potenciales de rellenos sanitarios municipales.</w:t>
      </w:r>
    </w:p>
    <w:p w:rsidR="00000000" w:rsidDel="00000000" w:rsidP="00000000" w:rsidRDefault="00000000" w:rsidRPr="00000000" w14:paraId="0000002F">
      <w:pPr>
        <w:rPr/>
      </w:pPr>
      <w:r w:rsidDel="00000000" w:rsidR="00000000" w:rsidRPr="00000000">
        <w:rPr>
          <w:rtl w:val="0"/>
        </w:rPr>
      </w:r>
    </w:p>
    <w:sectPr>
      <w:headerReference r:id="rId9" w:type="default"/>
      <w:footerReference r:id="rId10" w:type="default"/>
      <w:pgSz w:h="15840" w:w="12240" w:orient="portrait"/>
      <w:pgMar w:bottom="1417" w:top="1417" w:left="1701" w:right="1701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Times New Roman"/>
  <w:font w:name="Georgia"/>
  <w:font w:name="Montserrat">
    <w:embedRegular w:fontKey="{00000000-0000-0000-0000-000000000000}" r:id="rId2" w:subsetted="0"/>
    <w:embedBold w:fontKey="{00000000-0000-0000-0000-000000000000}" r:id="rId3" w:subsetted="0"/>
    <w:embedItalic w:fontKey="{00000000-0000-0000-0000-000000000000}" r:id="rId4" w:subsetted="0"/>
    <w:embedBoldItalic w:fontKey="{00000000-0000-0000-0000-000000000000}" r:id="rId5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31">
    <w:pPr>
      <w:jc w:val="right"/>
      <w:rPr>
        <w:b w:val="1"/>
        <w:sz w:val="18"/>
        <w:szCs w:val="18"/>
      </w:rPr>
    </w:pPr>
    <w:r w:rsidDel="00000000" w:rsidR="00000000" w:rsidRPr="00000000">
      <w:rPr>
        <w:sz w:val="18"/>
        <w:szCs w:val="18"/>
        <w:rtl w:val="0"/>
      </w:rPr>
      <w:t xml:space="preserve">Página </w:t>
    </w:r>
    <w:r w:rsidDel="00000000" w:rsidR="00000000" w:rsidRPr="00000000">
      <w:rPr>
        <w:b w:val="1"/>
        <w:sz w:val="18"/>
        <w:szCs w:val="18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sz w:val="18"/>
        <w:szCs w:val="18"/>
        <w:rtl w:val="0"/>
      </w:rPr>
      <w:t xml:space="preserve"> de </w:t>
    </w:r>
    <w:r w:rsidDel="00000000" w:rsidR="00000000" w:rsidRPr="00000000">
      <w:rPr>
        <w:b w:val="1"/>
        <w:sz w:val="18"/>
        <w:szCs w:val="18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30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419"/>
        <w:tab w:val="right" w:leader="none" w:pos="8838"/>
      </w:tabs>
      <w:spacing w:after="0" w:line="240" w:lineRule="auto"/>
      <w:jc w:val="center"/>
      <w:rPr>
        <w:rFonts w:ascii="Calibri" w:cs="Calibri" w:eastAsia="Calibri" w:hAnsi="Calibri"/>
        <w:color w:val="000000"/>
        <w:sz w:val="22"/>
        <w:szCs w:val="22"/>
      </w:rPr>
    </w:pPr>
    <w:r w:rsidDel="00000000" w:rsidR="00000000" w:rsidRPr="00000000">
      <w:rPr>
        <w:rFonts w:ascii="Calibri" w:cs="Calibri" w:eastAsia="Calibri" w:hAnsi="Calibri"/>
        <w:color w:val="000000"/>
        <w:sz w:val="22"/>
        <w:szCs w:val="22"/>
      </w:rPr>
      <w:drawing>
        <wp:inline distB="0" distT="0" distL="0" distR="0">
          <wp:extent cx="2275856" cy="821966"/>
          <wp:effectExtent b="0" l="0" r="0" t="0"/>
          <wp:docPr id="9" name="image3.png"/>
          <a:graphic>
            <a:graphicData uri="http://schemas.openxmlformats.org/drawingml/2006/picture">
              <pic:pic>
                <pic:nvPicPr>
                  <pic:cNvPr id="0" name="image3.pn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275856" cy="821966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Montserrat" w:cs="Montserrat" w:eastAsia="Montserrat" w:hAnsi="Montserrat"/>
        <w:lang w:val="es-MX"/>
      </w:rPr>
    </w:rPrDefault>
    <w:pPrDefault>
      <w:pPr>
        <w:spacing w:after="240" w:line="276" w:lineRule="auto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240" w:lineRule="auto"/>
    </w:pPr>
    <w:rPr>
      <w:rFonts w:ascii="Calibri" w:cs="Calibri" w:eastAsia="Calibri" w:hAnsi="Calibri"/>
      <w:color w:val="2e75b5"/>
      <w:sz w:val="32"/>
      <w:szCs w:val="32"/>
    </w:rPr>
  </w:style>
  <w:style w:type="paragraph" w:styleId="Heading2">
    <w:name w:val="heading 2"/>
    <w:basedOn w:val="Normal"/>
    <w:next w:val="Normal"/>
    <w:pPr>
      <w:spacing w:line="240" w:lineRule="auto"/>
    </w:pPr>
    <w:rPr>
      <w:rFonts w:ascii="Times New Roman" w:cs="Times New Roman" w:eastAsia="Times New Roman" w:hAnsi="Times New Roman"/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</w:style>
  <w:style w:type="paragraph" w:styleId="Ttulo1">
    <w:name w:val="heading 1"/>
    <w:basedOn w:val="Normal"/>
    <w:next w:val="Normal"/>
    <w:link w:val="Ttulo1Car"/>
    <w:uiPriority w:val="9"/>
    <w:qFormat w:val="1"/>
    <w:rsid w:val="00107DC8"/>
    <w:pPr>
      <w:keepNext w:val="1"/>
      <w:keepLines w:val="1"/>
      <w:spacing w:after="0" w:before="240"/>
      <w:outlineLvl w:val="0"/>
    </w:pPr>
    <w:rPr>
      <w:rFonts w:asciiTheme="majorHAnsi" w:cstheme="majorBidi" w:eastAsiaTheme="majorEastAsia" w:hAnsiTheme="majorHAnsi"/>
      <w:color w:val="2e74b5" w:themeColor="accent1" w:themeShade="0000BF"/>
      <w:sz w:val="32"/>
      <w:szCs w:val="32"/>
    </w:rPr>
  </w:style>
  <w:style w:type="paragraph" w:styleId="Ttulo2">
    <w:name w:val="heading 2"/>
    <w:basedOn w:val="Normal"/>
    <w:link w:val="Ttulo2Car"/>
    <w:uiPriority w:val="9"/>
    <w:qFormat w:val="1"/>
    <w:rsid w:val="008C0C73"/>
    <w:pPr>
      <w:spacing w:after="100" w:afterAutospacing="1" w:before="100" w:beforeAutospacing="1" w:line="240" w:lineRule="auto"/>
      <w:outlineLvl w:val="1"/>
    </w:pPr>
    <w:rPr>
      <w:rFonts w:ascii="Times New Roman" w:cs="Times New Roman" w:eastAsia="Times New Roman" w:hAnsi="Times New Roman"/>
      <w:b w:val="1"/>
      <w:bCs w:val="1"/>
      <w:sz w:val="36"/>
      <w:szCs w:val="36"/>
    </w:rPr>
  </w:style>
  <w:style w:type="paragraph" w:styleId="Ttulo3">
    <w:name w:val="heading 3"/>
    <w:basedOn w:val="Normal"/>
    <w:next w:val="Normal"/>
    <w:pPr>
      <w:keepNext w:val="1"/>
      <w:keepLines w:val="1"/>
      <w:spacing w:after="80" w:before="280"/>
      <w:outlineLvl w:val="2"/>
    </w:pPr>
    <w:rPr>
      <w:b w:val="1"/>
      <w:sz w:val="28"/>
      <w:szCs w:val="28"/>
    </w:rPr>
  </w:style>
  <w:style w:type="paragraph" w:styleId="Ttulo4">
    <w:name w:val="heading 4"/>
    <w:basedOn w:val="Normal"/>
    <w:next w:val="Normal"/>
    <w:pPr>
      <w:keepNext w:val="1"/>
      <w:keepLines w:val="1"/>
      <w:spacing w:after="40" w:before="240"/>
      <w:outlineLvl w:val="3"/>
    </w:pPr>
    <w:rPr>
      <w:b w:val="1"/>
      <w:sz w:val="24"/>
      <w:szCs w:val="24"/>
    </w:rPr>
  </w:style>
  <w:style w:type="paragraph" w:styleId="Ttulo5">
    <w:name w:val="heading 5"/>
    <w:basedOn w:val="Normal"/>
    <w:next w:val="Normal"/>
    <w:pPr>
      <w:keepNext w:val="1"/>
      <w:keepLines w:val="1"/>
      <w:spacing w:after="40" w:before="220"/>
      <w:outlineLvl w:val="4"/>
    </w:pPr>
    <w:rPr>
      <w:b w:val="1"/>
      <w:sz w:val="22"/>
      <w:szCs w:val="22"/>
    </w:rPr>
  </w:style>
  <w:style w:type="paragraph" w:styleId="Ttulo6">
    <w:name w:val="heading 6"/>
    <w:basedOn w:val="Normal"/>
    <w:next w:val="Normal"/>
    <w:pPr>
      <w:keepNext w:val="1"/>
      <w:keepLines w:val="1"/>
      <w:spacing w:after="40" w:before="200"/>
      <w:outlineLvl w:val="5"/>
    </w:pPr>
    <w:rPr>
      <w:b w:val="1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tulo">
    <w:name w:val="Title"/>
    <w:basedOn w:val="Normal"/>
    <w:next w:val="Normal"/>
    <w:pPr>
      <w:keepNext w:val="1"/>
      <w:keepLines w:val="1"/>
      <w:spacing w:after="120" w:before="480"/>
    </w:pPr>
    <w:rPr>
      <w:b w:val="1"/>
      <w:sz w:val="72"/>
      <w:szCs w:val="72"/>
    </w:rPr>
  </w:style>
  <w:style w:type="paragraph" w:styleId="Encabezado">
    <w:name w:val="header"/>
    <w:basedOn w:val="Normal"/>
    <w:link w:val="EncabezadoCar"/>
    <w:uiPriority w:val="99"/>
    <w:unhideWhenUsed w:val="1"/>
    <w:rsid w:val="00847611"/>
    <w:pPr>
      <w:tabs>
        <w:tab w:val="center" w:pos="4419"/>
        <w:tab w:val="right" w:pos="8838"/>
      </w:tabs>
      <w:spacing w:after="0" w:line="240" w:lineRule="auto"/>
    </w:pPr>
  </w:style>
  <w:style w:type="character" w:styleId="EncabezadoCar" w:customStyle="1">
    <w:name w:val="Encabezado Car"/>
    <w:basedOn w:val="Fuentedeprrafopredeter"/>
    <w:link w:val="Encabezado"/>
    <w:uiPriority w:val="99"/>
    <w:rsid w:val="00847611"/>
  </w:style>
  <w:style w:type="paragraph" w:styleId="Piedepgina">
    <w:name w:val="footer"/>
    <w:basedOn w:val="Normal"/>
    <w:link w:val="PiedepginaCar"/>
    <w:uiPriority w:val="99"/>
    <w:unhideWhenUsed w:val="1"/>
    <w:rsid w:val="00847611"/>
    <w:pPr>
      <w:tabs>
        <w:tab w:val="center" w:pos="4419"/>
        <w:tab w:val="right" w:pos="8838"/>
      </w:tabs>
      <w:spacing w:after="0" w:line="240" w:lineRule="auto"/>
    </w:pPr>
  </w:style>
  <w:style w:type="character" w:styleId="PiedepginaCar" w:customStyle="1">
    <w:name w:val="Pie de página Car"/>
    <w:basedOn w:val="Fuentedeprrafopredeter"/>
    <w:link w:val="Piedepgina"/>
    <w:uiPriority w:val="99"/>
    <w:rsid w:val="00847611"/>
  </w:style>
  <w:style w:type="character" w:styleId="Ttulo2Car" w:customStyle="1">
    <w:name w:val="Título 2 Car"/>
    <w:basedOn w:val="Fuentedeprrafopredeter"/>
    <w:link w:val="Ttulo2"/>
    <w:uiPriority w:val="9"/>
    <w:rsid w:val="008C0C73"/>
    <w:rPr>
      <w:rFonts w:ascii="Times New Roman" w:cs="Times New Roman" w:eastAsia="Times New Roman" w:hAnsi="Times New Roman"/>
      <w:b w:val="1"/>
      <w:bCs w:val="1"/>
      <w:sz w:val="36"/>
      <w:szCs w:val="36"/>
      <w:lang w:eastAsia="es-MX"/>
    </w:rPr>
  </w:style>
  <w:style w:type="character" w:styleId="nfasis">
    <w:name w:val="Emphasis"/>
    <w:basedOn w:val="Fuentedeprrafopredeter"/>
    <w:uiPriority w:val="20"/>
    <w:qFormat w:val="1"/>
    <w:rsid w:val="008C0C73"/>
    <w:rPr>
      <w:i w:val="1"/>
      <w:iCs w:val="1"/>
    </w:rPr>
  </w:style>
  <w:style w:type="character" w:styleId="Ttulo1Car" w:customStyle="1">
    <w:name w:val="Título 1 Car"/>
    <w:basedOn w:val="Fuentedeprrafopredeter"/>
    <w:link w:val="Ttulo1"/>
    <w:uiPriority w:val="9"/>
    <w:rsid w:val="00107DC8"/>
    <w:rPr>
      <w:rFonts w:asciiTheme="majorHAnsi" w:cstheme="majorBidi" w:eastAsiaTheme="majorEastAsia" w:hAnsiTheme="majorHAnsi"/>
      <w:color w:val="2e74b5" w:themeColor="accent1" w:themeShade="0000BF"/>
      <w:sz w:val="32"/>
      <w:szCs w:val="32"/>
    </w:rPr>
  </w:style>
  <w:style w:type="paragraph" w:styleId="Subttulo">
    <w:name w:val="Subtitle"/>
    <w:basedOn w:val="Normal"/>
    <w:next w:val="Normal"/>
    <w:pPr>
      <w:keepNext w:val="1"/>
      <w:keepLines w:val="1"/>
      <w:spacing w:after="80" w:before="360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a" w:customStyle="1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a0" w:customStyle="1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a1" w:customStyle="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image" Target="media/image1.jpg"/><Relationship Id="rId2" Type="http://schemas.openxmlformats.org/officeDocument/2006/relationships/theme" Target="theme/theme1.xml"/><Relationship Id="rId3" Type="http://schemas.openxmlformats.org/officeDocument/2006/relationships/settings" Target="settings.xml"/><Relationship Id="rId4" Type="http://schemas.openxmlformats.org/officeDocument/2006/relationships/fontTable" Target="fontTable.xml"/><Relationship Id="rId10" Type="http://schemas.openxmlformats.org/officeDocument/2006/relationships/footer" Target="footer1.xml"/><Relationship Id="rId9" Type="http://schemas.openxmlformats.org/officeDocument/2006/relationships/header" Target="header1.xml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7" Type="http://schemas.openxmlformats.org/officeDocument/2006/relationships/customXml" Target="../customXML/item1.xml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2" Type="http://schemas.openxmlformats.org/officeDocument/2006/relationships/font" Target="fonts/Montserrat-regular.ttf"/><Relationship Id="rId3" Type="http://schemas.openxmlformats.org/officeDocument/2006/relationships/font" Target="fonts/Montserrat-bold.ttf"/><Relationship Id="rId4" Type="http://schemas.openxmlformats.org/officeDocument/2006/relationships/font" Target="fonts/Montserrat-italic.ttf"/><Relationship Id="rId5" Type="http://schemas.openxmlformats.org/officeDocument/2006/relationships/font" Target="fonts/Montserrat-boldItalic.ttf"/></Relationships>
</file>

<file path=word/_rels/header1.xml.rels><?xml version="1.0" encoding="UTF-8" standalone="yes"?><Relationships xmlns="http://schemas.openxmlformats.org/package/2006/relationships"><Relationship Id="rId2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2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KH8wSQderJlS2nFJxA8QVSbQ3mA==">CgMxLjAyCGguZ2pkZ3hzOAByITFxVjlIbjY5S2JIb1V3RlNvTWdIS0Ric0Z2NDdvQ0kzVw==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2025-02-27T19:55:00Z</dcterms:created>
  <dc:creator>Karla Elizalde Trujillo</dc:creator>
</cp:coreProperties>
</file>